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A6222F" w:rsidRDefault="002D2410" w:rsidP="002D2410">
      <w:pPr>
        <w:pStyle w:val="Zkladnodstavec"/>
        <w:spacing w:line="312" w:lineRule="auto"/>
        <w:jc w:val="center"/>
        <w:rPr>
          <w:rFonts w:ascii="Arial" w:hAnsi="Arial" w:cs="Arial"/>
          <w:b/>
          <w:bCs/>
          <w:color w:val="2F5496" w:themeColor="accent1" w:themeShade="BF"/>
          <w:sz w:val="52"/>
          <w:szCs w:val="52"/>
        </w:rPr>
      </w:pPr>
      <w:r w:rsidRPr="00A6222F">
        <w:rPr>
          <w:rFonts w:ascii="Arial" w:hAnsi="Arial" w:cs="Arial"/>
          <w:b/>
          <w:bCs/>
          <w:color w:val="2F5496" w:themeColor="accent1" w:themeShade="BF"/>
          <w:sz w:val="52"/>
          <w:szCs w:val="52"/>
        </w:rPr>
        <w:t>SPECIFICKÁ PRAVIDLA PRO ŽADATELE A PŘÍJEMCE</w:t>
      </w:r>
    </w:p>
    <w:p w14:paraId="20A8DD4F" w14:textId="77777777" w:rsidR="00E13003" w:rsidRPr="00E13003" w:rsidRDefault="00E13003" w:rsidP="00A6222F">
      <w:pPr>
        <w:pStyle w:val="Zkladnodstavec"/>
        <w:spacing w:before="120"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PŘÍLOHA 5</w:t>
      </w:r>
    </w:p>
    <w:p w14:paraId="093ED98C" w14:textId="5EDBC76A" w:rsidR="00E13003" w:rsidRPr="00E13003" w:rsidRDefault="00E13003" w:rsidP="00E13003">
      <w:pPr>
        <w:pStyle w:val="Zkladnodstavec"/>
        <w:spacing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PODKLADY PRO VYHODNOCENÍ ŽADATELE O</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PODPORU Z POHLEDU PODNIKU V</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OBTÍŽÍCH</w:t>
      </w:r>
    </w:p>
    <w:p w14:paraId="23411C95" w14:textId="77777777" w:rsidR="0043333A" w:rsidRDefault="0043333A" w:rsidP="0043333A">
      <w:pPr>
        <w:tabs>
          <w:tab w:val="left" w:pos="993"/>
        </w:tabs>
        <w:spacing w:after="60" w:line="288" w:lineRule="auto"/>
        <w:ind w:left="851" w:hanging="851"/>
        <w:rPr>
          <w:rFonts w:ascii="Arial" w:eastAsia="MS Mincho" w:hAnsi="Arial" w:cs="Arial"/>
          <w:caps/>
          <w:color w:val="000000"/>
          <w:sz w:val="32"/>
          <w:szCs w:val="32"/>
          <w:lang w:eastAsia="ja-JP"/>
        </w:rPr>
      </w:pPr>
      <w:r>
        <w:rPr>
          <w:rFonts w:ascii="Arial" w:eastAsia="MS Mincho" w:hAnsi="Arial" w:cs="Arial"/>
          <w:caps/>
          <w:color w:val="000000"/>
          <w:sz w:val="32"/>
          <w:szCs w:val="32"/>
          <w:lang w:eastAsia="ja-JP"/>
        </w:rPr>
        <w:t xml:space="preserve">56. VÝZVA IROP – podpora akutní a specializované lůžkové psychiatrické </w:t>
      </w:r>
      <w:proofErr w:type="gramStart"/>
      <w:r>
        <w:rPr>
          <w:rFonts w:ascii="Arial" w:eastAsia="MS Mincho" w:hAnsi="Arial" w:cs="Arial"/>
          <w:caps/>
          <w:color w:val="000000"/>
          <w:sz w:val="32"/>
          <w:szCs w:val="32"/>
          <w:lang w:eastAsia="ja-JP"/>
        </w:rPr>
        <w:t>péče - SC</w:t>
      </w:r>
      <w:proofErr w:type="gramEnd"/>
      <w:r>
        <w:rPr>
          <w:rFonts w:ascii="Arial" w:eastAsia="MS Mincho" w:hAnsi="Arial" w:cs="Arial"/>
          <w:caps/>
          <w:color w:val="000000"/>
          <w:sz w:val="32"/>
          <w:szCs w:val="32"/>
          <w:lang w:eastAsia="ja-JP"/>
        </w:rPr>
        <w:t xml:space="preserve"> 4.3 (MRR)</w:t>
      </w:r>
    </w:p>
    <w:p w14:paraId="525225E6" w14:textId="77777777" w:rsidR="0043333A" w:rsidRDefault="0043333A" w:rsidP="0043333A">
      <w:pPr>
        <w:jc w:val="center"/>
        <w:rPr>
          <w:rFonts w:ascii="Arial" w:eastAsia="MS Mincho" w:hAnsi="Arial" w:cs="Arial"/>
          <w:caps/>
          <w:color w:val="000000"/>
          <w:sz w:val="32"/>
          <w:szCs w:val="32"/>
          <w:lang w:eastAsia="ja-JP"/>
        </w:rPr>
      </w:pPr>
      <w:r>
        <w:rPr>
          <w:rFonts w:ascii="Arial" w:eastAsia="MS Mincho" w:hAnsi="Arial" w:cs="Arial"/>
          <w:caps/>
          <w:color w:val="000000"/>
          <w:sz w:val="32"/>
          <w:szCs w:val="32"/>
          <w:lang w:eastAsia="ja-JP"/>
        </w:rPr>
        <w:t xml:space="preserve">57. VÝZVA IROP – podpora akutní a specializované lůžkové psychiatrické </w:t>
      </w:r>
      <w:proofErr w:type="gramStart"/>
      <w:r>
        <w:rPr>
          <w:rFonts w:ascii="Arial" w:eastAsia="MS Mincho" w:hAnsi="Arial" w:cs="Arial"/>
          <w:caps/>
          <w:color w:val="000000"/>
          <w:sz w:val="32"/>
          <w:szCs w:val="32"/>
          <w:lang w:eastAsia="ja-JP"/>
        </w:rPr>
        <w:t>péče - SC</w:t>
      </w:r>
      <w:proofErr w:type="gramEnd"/>
      <w:r>
        <w:rPr>
          <w:rFonts w:ascii="Arial" w:eastAsia="MS Mincho" w:hAnsi="Arial" w:cs="Arial"/>
          <w:caps/>
          <w:color w:val="000000"/>
          <w:sz w:val="32"/>
          <w:szCs w:val="32"/>
          <w:lang w:eastAsia="ja-JP"/>
        </w:rPr>
        <w:t xml:space="preserve"> 4.3 (PR)</w:t>
      </w:r>
    </w:p>
    <w:p w14:paraId="1FE147E3" w14:textId="664A5588" w:rsidR="008F44B5" w:rsidRDefault="008F44B5" w:rsidP="0043333A">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AD74C0">
        <w:rPr>
          <w:rFonts w:ascii="Arial" w:hAnsi="Arial" w:cs="Arial"/>
          <w:caps/>
          <w:color w:val="7F7F7F" w:themeColor="text1" w:themeTint="80"/>
          <w:sz w:val="24"/>
          <w:szCs w:val="24"/>
        </w:rPr>
        <w:t>VERZE</w:t>
      </w:r>
      <w:r w:rsidRPr="00AD74C0">
        <w:rPr>
          <w:rFonts w:ascii="Arial" w:hAnsi="Arial" w:cs="Arial"/>
          <w:caps/>
          <w:color w:val="7F7F7F" w:themeColor="text1" w:themeTint="80"/>
          <w:sz w:val="32"/>
          <w:szCs w:val="32"/>
        </w:rPr>
        <w:t xml:space="preserve"> </w:t>
      </w:r>
      <w:r w:rsidR="0043333A" w:rsidRPr="00AD74C0">
        <w:rPr>
          <w:rFonts w:ascii="Arial" w:hAnsi="Arial" w:cs="Arial"/>
          <w:caps/>
          <w:color w:val="7F7F7F" w:themeColor="text1" w:themeTint="80"/>
          <w:sz w:val="32"/>
          <w:szCs w:val="32"/>
        </w:rPr>
        <w:t>4</w:t>
      </w:r>
    </w:p>
    <w:p w14:paraId="72D048A4" w14:textId="632478B8" w:rsidR="007B5414" w:rsidRPr="00FC6F26" w:rsidRDefault="006C0F62" w:rsidP="00D24AD7">
      <w:pPr>
        <w:pStyle w:val="Nadpis1"/>
        <w:numPr>
          <w:ilvl w:val="0"/>
          <w:numId w:val="24"/>
        </w:numPr>
        <w:ind w:left="714" w:hanging="357"/>
        <w:rPr>
          <w:b/>
          <w:bCs/>
        </w:rPr>
      </w:pPr>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1B835C9F"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7E7589">
        <w:rPr>
          <w:rFonts w:cstheme="minorHAnsi"/>
        </w:rPr>
        <w:t xml:space="preserve">Evropského parlamentu a Rady </w:t>
      </w:r>
      <w:r w:rsidR="00975DB4">
        <w:rPr>
          <w:rFonts w:cstheme="minorHAnsi"/>
        </w:rPr>
        <w:t xml:space="preserve">(ES) </w:t>
      </w:r>
      <w:r w:rsidRPr="00AE2F4A">
        <w:rPr>
          <w:rFonts w:cstheme="minorHAnsi"/>
        </w:rPr>
        <w:t>č. 1370/2007 (nařízení o veřejných službách v</w:t>
      </w:r>
      <w:r w:rsidR="00E13003">
        <w:rPr>
          <w:rFonts w:cstheme="minorHAnsi"/>
        </w:rPr>
        <w:t> </w:t>
      </w:r>
      <w:r w:rsidRPr="00AE2F4A">
        <w:rPr>
          <w:rFonts w:cstheme="minorHAnsi"/>
        </w:rPr>
        <w:t>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Default="009249E3" w:rsidP="00A170B1">
      <w:pPr>
        <w:spacing w:after="120"/>
        <w:jc w:val="both"/>
        <w:rPr>
          <w:rFonts w:cstheme="minorHAnsi"/>
        </w:rPr>
      </w:pPr>
    </w:p>
    <w:p w14:paraId="0235F88E" w14:textId="77777777" w:rsidR="00E13003" w:rsidRPr="0028081C" w:rsidRDefault="00E1300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 xml:space="preserve">doloží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6du="http://schemas.microsoft.com/office/word/2023/wordml/word16du">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2503"/>
      <w:docPartObj>
        <w:docPartGallery w:val="Page Numbers (Bottom of Page)"/>
        <w:docPartUnique/>
      </w:docPartObj>
    </w:sdtPr>
    <w:sdtEnd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3333A"/>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758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6222F"/>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D74C0"/>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13003"/>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00724977">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87985862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6863</Words>
  <Characters>40492</Characters>
  <Application>Microsoft Office Word</Application>
  <DocSecurity>0</DocSecurity>
  <Lines>337</Lines>
  <Paragraphs>94</Paragraphs>
  <ScaleCrop>false</ScaleCrop>
  <Company>Ministerstvo pro místní rozvoj</Company>
  <LinksUpToDate>false</LinksUpToDate>
  <CharactersWithSpaces>47261</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7</cp:revision>
  <cp:lastPrinted>2023-03-16T08:50:00Z</cp:lastPrinted>
  <dcterms:created xsi:type="dcterms:W3CDTF">2024-11-20T09:20:00Z</dcterms:created>
  <dcterms:modified xsi:type="dcterms:W3CDTF">2025-02-21T08:10:00Z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